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6"/>
    <w:p>
      <w:pPr>
        <w:pStyle w:val="Heading1"/>
      </w:pPr>
      <w:r>
        <w:t xml:space="preserve">Homiletics Analysis: Numbers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6 divides into two distinct but unified movements. The first movement (vv. 1–21) establishes the laws of the Nazirite vow — a voluntary consecration by which an Israelite, male or female, set themselves apart to the LORD for a defined period. The vow entailed three prohibitions (abstaining from grape products, refraining from cutting the hair, and avoiding contact with the dead) and a concluding purification and release ceremony involving specific sacrifices. The second and climactic movement (vv. 22–27) delivers the Aaronic Benediction — the precise words by which Aaron and his sons were commanded to bless the people of Israel, with the LORD’s own guarantee that His name placed upon them would result in His blessing.</w:t>
      </w:r>
    </w:p>
    <w:p>
      <w:pPr>
        <w:pStyle w:val="BodyText"/>
      </w:pPr>
      <w:r>
        <w:t xml:space="preserve">The chapter as a whole moves from the particular (one person’s voluntary consecration to the LORD) to the universal (the LORD’s blessing upon the entire congregation). It treats both the Nazirite vow and the benediction as matters of divine initiative and specification — the LORD speaks to Moses defining both, and both are presented as instruments through which the LORD accomplishes His purposes among His people.</w:t>
      </w:r>
    </w:p>
    <w:p>
      <w:pPr>
        <w:pStyle w:val="BodyText"/>
      </w:pPr>
      <w:r>
        <w:rPr>
          <w:b/>
          <w:bCs/>
        </w:rPr>
        <w:t xml:space="preserve">This Text — Intent</w:t>
      </w:r>
    </w:p>
    <w:p>
      <w:pPr>
        <w:pStyle w:val="BodyText"/>
      </w:pPr>
      <w:r>
        <w:t xml:space="preserve">God’s intent through this chapter is to establish and assure His people that consecration and blessing are His work, not theirs. The Nazirite vow regulations reveal that even voluntary devotion operates within divinely specified parameters — it is not self-designed spirituality but God-ordered holiness. The Aaronic Benediction reveals something even more fundamental: that the LORD’s blessing of His people is a matter of divine speech-act, not human earning. The benediction closes the chapter by making explicit what the Nazirite regulations implied — the LORD’s face, favor, and peace are what Israel ultimately needs, and the LORD is the one who gives them. God is calling His people to understand that all genuine consecration flows from His grace and all genuine blessing flows from His face.</w:t>
      </w:r>
    </w:p>
    <w:p>
      <w:r>
        <w:pict>
          <v:rect style="width:0;height:1.5pt" o:hralign="center" o:hrstd="t" o:hr="t"/>
        </w:pict>
      </w:r>
    </w:p>
    <w:p>
      <w:pPr>
        <w:pStyle w:val="FirstParagraph"/>
      </w:pPr>
      <w:r>
        <w:rPr>
          <w:b/>
          <w:bCs/>
        </w:rPr>
        <w:t xml:space="preserve">Subject Sentence:</w:t>
      </w:r>
      <w:r>
        <w:t xml:space="preserve"> </w:t>
      </w:r>
      <w:r>
        <w:t xml:space="preserve">The LORD specifies both the shape of consecration and the source of all blessing for His covenant people.</w:t>
      </w:r>
    </w:p>
    <w:p>
      <w:r>
        <w:pict>
          <v:rect style="width:0;height:1.5pt" o:hralign="center" o:hrstd="t" o:hr="t"/>
        </w:pict>
      </w:r>
    </w:p>
    <w:p>
      <w:pPr>
        <w:pStyle w:val="FirstParagraph"/>
      </w:pPr>
      <w:r>
        <w:rPr>
          <w:b/>
          <w:bCs/>
        </w:rPr>
        <w:t xml:space="preserve">Primary Claim:</w:t>
      </w:r>
      <w:r>
        <w:t xml:space="preserve"> </w:t>
      </w:r>
      <w:r>
        <w:t xml:space="preserve">God is assuring His people that every dimension of their life with Him — their consecration, their holiness, their peace — originates in His gracious initiative and His spoken blessing, not in their achievement or worthiness.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Nazirite Vow: Meritorious Devotion or Ordered Grace?</w:t>
      </w:r>
    </w:p>
    <w:p>
      <w:pPr>
        <w:pStyle w:val="BodyText"/>
      </w:pPr>
      <w:r>
        <w:t xml:space="preserve">A common misreading treats the Nazirite vow as an example of exceptional human devotion — an</w:t>
      </w:r>
      <w:r>
        <w:t xml:space="preserve"> </w:t>
      </w:r>
      <w:r>
        <w:t xml:space="preserve">“above and beyond”</w:t>
      </w:r>
      <w:r>
        <w:t xml:space="preserve"> </w:t>
      </w:r>
      <w:r>
        <w:t xml:space="preserve">spirituality available to those who want to go further with God. On this reading, the Nazirite is a model of voluntary religious commitment, and the passage is primarily about the human act of consecration. This reading must be qualified significantly. The structure of Numbers 6:1–21 is dominated not by the Nazirite’s choices but by the LORD’s specifications:</w:t>
      </w:r>
      <w:r>
        <w:t xml:space="preserve"> </w:t>
      </w:r>
      <w:r>
        <w:rPr>
          <w:i/>
          <w:iCs/>
        </w:rPr>
        <w:t xml:space="preserve">“speak to the people of Israel and say to them…”</w:t>
      </w:r>
      <w:r>
        <w:t xml:space="preserve"> </w:t>
      </w:r>
      <w:r>
        <w:t xml:space="preserve">(v. 2). The LORD does not simply affirm whatever self-consecration the Israelite devises — He defines its content, its boundaries, and its termination. Even the voluntary is brought under divine ordering. The passage resists the reading that treats Nazirite devotion as self-generated spiritual capital.</w:t>
      </w:r>
    </w:p>
    <w:p>
      <w:pPr>
        <w:pStyle w:val="BodyText"/>
      </w:pPr>
      <w:r>
        <w:t xml:space="preserve">A more serious misreading — particularly present in certain ascetic and Catholic traditions — takes the Nazirite vow as a paradigm for voluntary religious vows (monastic life, celibacy vows, religious orders) as a superior form of Christian holiness. The text does not support this supercessionist use. The Nazirite vow is a temporary, bounded, ceremonially-specific institution within the Mosaic covenant. Its redemptive-historical significance must be assessed in light of its fulfillment and transformation in Christ (see Canonical Support below), not imported directly into Christian ecclesiology as a template for religious orders.</w:t>
      </w:r>
    </w:p>
    <w:p>
      <w:pPr>
        <w:pStyle w:val="BodyText"/>
      </w:pPr>
      <w:r>
        <w:rPr>
          <w:b/>
          <w:bCs/>
        </w:rPr>
        <w:t xml:space="preserve">The Aaronic Benediction: Priestly Formula or Divine Promise?</w:t>
      </w:r>
    </w:p>
    <w:p>
      <w:pPr>
        <w:pStyle w:val="BodyText"/>
      </w:pPr>
      <w:r>
        <w:t xml:space="preserve">Some traditions treat the Aaronic Benediction primarily as a liturgical formula — a beautiful closing blessing whose value is mainly aesthetic or ceremonial. This underreads the text. The benediction is a divine command (</w:t>
      </w:r>
      <w:r>
        <w:t xml:space="preserve">“</w:t>
      </w:r>
      <w:r>
        <w:rPr>
          <w:i/>
          <w:iCs/>
        </w:rPr>
        <w:t xml:space="preserve">so shall you bless…</w:t>
      </w:r>
      <w:r>
        <w:t xml:space="preserve">,”</w:t>
      </w:r>
      <w:r>
        <w:t xml:space="preserve"> </w:t>
      </w:r>
      <w:r>
        <w:t xml:space="preserve">v. 23), a divine speech-act (</w:t>
      </w:r>
      <w:r>
        <w:t xml:space="preserve">“</w:t>
      </w:r>
      <w:r>
        <w:rPr>
          <w:i/>
          <w:iCs/>
        </w:rPr>
        <w:t xml:space="preserve">they shall put my name</w:t>
      </w:r>
      <w:r>
        <w:t xml:space="preserve">,”</w:t>
      </w:r>
      <w:r>
        <w:t xml:space="preserve"> </w:t>
      </w:r>
      <w:r>
        <w:t xml:space="preserve">v. 27), and a divine guarantee (</w:t>
      </w:r>
      <w:r>
        <w:t xml:space="preserve">“</w:t>
      </w:r>
      <w:r>
        <w:rPr>
          <w:i/>
          <w:iCs/>
        </w:rPr>
        <w:t xml:space="preserve">and I will bless them</w:t>
      </w:r>
      <w:r>
        <w:t xml:space="preserve">,”</w:t>
      </w:r>
      <w:r>
        <w:t xml:space="preserve"> </w:t>
      </w:r>
      <w:r>
        <w:t xml:space="preserve">v. 27). The LORD is not merely authorizing Aaron to say something nice — He is claiming that when His ordained priests pronounce these words over His people, He is actively placing His name upon them. The blessing is effective because it is the LORD’s blessing, not Aaron’s. The priestly office is the instrument; the LORD is the agent.</w:t>
      </w:r>
    </w:p>
    <w:p>
      <w:pPr>
        <w:pStyle w:val="BodyText"/>
      </w:pPr>
      <w:r>
        <w:t xml:space="preserve">Charismatic and Pentecostal readings sometimes emphasize the experiential dimension of the benediction’s language (</w:t>
      </w:r>
      <w:r>
        <w:t xml:space="preserve">“the LORD make his face shine upon you,”</w:t>
      </w:r>
      <w:r>
        <w:t xml:space="preserve"> </w:t>
      </w:r>
      <w:r>
        <w:t xml:space="preserve">“lift up his countenance upon you”</w:t>
      </w:r>
      <w:r>
        <w:t xml:space="preserve">) as primarily about felt spiritual experience or a present encounter with God’s manifest presence. This surfaces a genuine truth — the benediction is not cold formula — but it must be grounded in the covenantal and objective dimension: the LORD’s blessing rests on the people by virtue of His covenant name, not by virtue of their experienced intensity. The Reformed reading holds both: the benediction is objectively effective (God’s name placed on the people) and genuinely experiential (His face, His favor, His peace are real gifts) — but the objective ground precedes and secures the experiential gift.</w:t>
      </w:r>
    </w:p>
    <w:p>
      <w:pPr>
        <w:pStyle w:val="BodyText"/>
      </w:pPr>
      <w:r>
        <w:t xml:space="preserve">The Reformed reading sees the Aaronic Benediction as a covenantal speech-act: the LORD, through His ordained servants, places His own name upon His people, guaranteeing His favor, protection, and peace. This is not priestly magic (the form has no power in itself) but covenantal promise (the LORD backs his own word with his own commitment). The benediction is simultaneously liturgical, covenantal, and eschatological — it points forward to the full favor and face-to-face presence that awaits God’s people in the new creation.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LORD’s self-declaration of His name (</w:t>
      </w:r>
      <w:r>
        <w:t xml:space="preserve">“the LORD, the LORD, a God merciful and gracious…”</w:t>
      </w:r>
      <w:r>
        <w:t xml:space="preserve">) is the content of what the Aaronic Benediction invokes. When the LORD places His name on the people, He places this character upon them as their covering and claim.</w:t>
      </w:r>
    </w:p>
    <w:p>
      <w:pPr>
        <w:numPr>
          <w:ilvl w:val="0"/>
          <w:numId w:val="1001"/>
        </w:numPr>
      </w:pPr>
      <w:r>
        <w:rPr>
          <w:b/>
          <w:bCs/>
        </w:rPr>
        <w:t xml:space="preserve">Leviticus 9:22–23</w:t>
      </w:r>
      <w:r>
        <w:t xml:space="preserve"> </w:t>
      </w:r>
      <w:r>
        <w:t xml:space="preserve">— Aaron’s first pronouncement of blessing over the people immediately after the inaugural sacrifices, where the LORD’s glory appears — establishing that the priestly blessing is tied to the LORD’s own appearing and confirming that the benediction is not empty ceremony but divine self-disclosure.</w:t>
      </w:r>
    </w:p>
    <w:p>
      <w:pPr>
        <w:numPr>
          <w:ilvl w:val="0"/>
          <w:numId w:val="1001"/>
        </w:numPr>
      </w:pPr>
      <w:r>
        <w:rPr>
          <w:b/>
          <w:bCs/>
        </w:rPr>
        <w:t xml:space="preserve">Luke 1:35 / Matthew 3:17</w:t>
      </w:r>
      <w:r>
        <w:t xml:space="preserve"> </w:t>
      </w:r>
      <w:r>
        <w:t xml:space="preserve">— The Aaronic formula’s three movements (grace and protection, illumination and favor, peace) find their ultimate referent in Christ, upon whom the Father’s favor fully rests, and through whom alone His face shines upon sinners. The benediction is not simply fulfilled in Jesus — it defines what the Father’s posture toward His Son is, and by union with the Son, what His posture toward His people is.</w:t>
      </w:r>
    </w:p>
    <w:p>
      <w:pPr>
        <w:numPr>
          <w:ilvl w:val="0"/>
          <w:numId w:val="1001"/>
        </w:numPr>
      </w:pPr>
      <w:r>
        <w:rPr>
          <w:b/>
          <w:bCs/>
        </w:rPr>
        <w:t xml:space="preserve">2 Corinthians 13:14 / Philippians 4:7</w:t>
      </w:r>
      <w:r>
        <w:t xml:space="preserve"> </w:t>
      </w:r>
      <w:r>
        <w:t xml:space="preserve">— The apostolic benedictions of the New Testament echo and develop the Aaronic Benediction’s structure — grace, peace, and the presence of God as the summary of all blessing. Paul’s benedictions are the new covenant restatement of what Numbers 6:24–26 anticipated.</w:t>
      </w:r>
    </w:p>
    <w:p>
      <w:pPr>
        <w:numPr>
          <w:ilvl w:val="0"/>
          <w:numId w:val="1001"/>
        </w:numPr>
      </w:pPr>
      <w:r>
        <w:rPr>
          <w:b/>
          <w:bCs/>
        </w:rPr>
        <w:t xml:space="preserve">Revelation 22:4</w:t>
      </w:r>
      <w:r>
        <w:t xml:space="preserve"> </w:t>
      </w:r>
      <w:r>
        <w:t xml:space="preserve">— The eschatological telos of the Aaronic Benediction:</w:t>
      </w:r>
      <w:r>
        <w:t xml:space="preserve"> </w:t>
      </w:r>
      <w:r>
        <w:t xml:space="preserve">“They will see his face, and his name will be on their foreheads.”</w:t>
      </w:r>
      <w:r>
        <w:t xml:space="preserve"> </w:t>
      </w:r>
      <w:r>
        <w:t xml:space="preserve">The</w:t>
      </w:r>
      <w:r>
        <w:t xml:space="preserve"> </w:t>
      </w:r>
      <w:r>
        <w:t xml:space="preserve">“face”</w:t>
      </w:r>
      <w:r>
        <w:t xml:space="preserve"> </w:t>
      </w:r>
      <w:r>
        <w:t xml:space="preserve">that the benediction invokes (</w:t>
      </w:r>
      <w:r>
        <w:t xml:space="preserve">“make his face shine upon you,”</w:t>
      </w:r>
      <w:r>
        <w:t xml:space="preserve"> </w:t>
      </w:r>
      <w:r>
        <w:t xml:space="preserve">“lift up his countenance”</w:t>
      </w:r>
      <w:r>
        <w:t xml:space="preserve">) is fully bestowed only in the new creation. Numbers 6 is already pointing there.</w:t>
      </w:r>
    </w:p>
    <w:p>
      <w:r>
        <w:pict>
          <v:rect style="width:0;height:1.5pt" o:hralign="center" o:hrstd="t" o:hr="t"/>
        </w:pict>
      </w:r>
    </w:p>
    <w:p>
      <w:pPr>
        <w:pStyle w:val="FirstParagraph"/>
      </w:pPr>
      <w:r>
        <w:rPr>
          <w:b/>
          <w:bCs/>
        </w:rPr>
        <w:t xml:space="preserve">Aim:</w:t>
      </w:r>
      <w:r>
        <w:t xml:space="preserve"> </w:t>
      </w:r>
      <w:r>
        <w:t xml:space="preserve">To demonstrate that both the Nazirite vow regulations and the Aaronic Benediction teach a single truth — that Israel’s holiness and blessing are grounded in God’s gracious specification and speech, not in human achievement — and to apply that truth to how believers understand their standing before God today.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introduces the law of the Nazirite vow — a voluntary dedication</w:t>
            </w:r>
            <w:r>
              <w:t xml:space="preserve"> </w:t>
            </w:r>
            <w:r>
              <w:t xml:space="preserve">“to the LORD”</w:t>
            </w:r>
          </w:p>
        </w:tc>
        <w:tc>
          <w:tcPr/>
          <w:p>
            <w:pPr>
              <w:pStyle w:val="Compact"/>
            </w:pPr>
            <w:r>
              <w:t xml:space="preserve">Hebrew</w:t>
            </w:r>
            <w:r>
              <w:t xml:space="preserve"> </w:t>
            </w:r>
            <w:r>
              <w:rPr>
                <w:i/>
                <w:iCs/>
              </w:rPr>
              <w:t xml:space="preserve">nāzîr</w:t>
            </w:r>
            <w:r>
              <w:t xml:space="preserve"> </w:t>
            </w:r>
            <w:r>
              <w:t xml:space="preserve">=</w:t>
            </w:r>
            <w:r>
              <w:t xml:space="preserve"> </w:t>
            </w:r>
            <w:r>
              <w:t xml:space="preserve">“consecrated/separated one”</w:t>
            </w:r>
            <w:r>
              <w:t xml:space="preserve">; both men and women eligible</w:t>
            </w:r>
          </w:p>
        </w:tc>
      </w:tr>
      <w:tr>
        <w:tc>
          <w:tcPr/>
          <w:p>
            <w:pPr>
              <w:pStyle w:val="Compact"/>
            </w:pPr>
            <w:r>
              <w:t xml:space="preserve">3–4</w:t>
            </w:r>
          </w:p>
        </w:tc>
        <w:tc>
          <w:tcPr/>
          <w:p>
            <w:pPr>
              <w:pStyle w:val="Compact"/>
            </w:pPr>
            <w:r>
              <w:t xml:space="preserve">First prohibition: abstain from all grape products — wine, strong drink, vinegar, grape juice, grapes, raisins; even grape skins and seeds prohibited</w:t>
            </w:r>
          </w:p>
        </w:tc>
        <w:tc>
          <w:tcPr/>
          <w:p>
            <w:pPr>
              <w:pStyle w:val="Compact"/>
            </w:pPr>
            <w:r>
              <w:t xml:space="preserve">Totality of the prohibition is striking — not mere moderation but complete separation from the vine</w:t>
            </w:r>
          </w:p>
        </w:tc>
      </w:tr>
      <w:tr>
        <w:tc>
          <w:tcPr/>
          <w:p>
            <w:pPr>
              <w:pStyle w:val="Compact"/>
            </w:pPr>
            <w:r>
              <w:t xml:space="preserve">5</w:t>
            </w:r>
          </w:p>
        </w:tc>
        <w:tc>
          <w:tcPr/>
          <w:p>
            <w:pPr>
              <w:pStyle w:val="Compact"/>
            </w:pPr>
            <w:r>
              <w:t xml:space="preserve">Second prohibition: no razor shall touch the head; the hair grows as a visible, external sign of consecration</w:t>
            </w:r>
          </w:p>
        </w:tc>
        <w:tc>
          <w:tcPr/>
          <w:p>
            <w:pPr>
              <w:pStyle w:val="Compact"/>
            </w:pPr>
            <w:r>
              <w:t xml:space="preserve">The uncut hair functions as a perpetual, visible testimony to the vow during its term</w:t>
            </w:r>
          </w:p>
        </w:tc>
      </w:tr>
      <w:tr>
        <w:tc>
          <w:tcPr/>
          <w:p>
            <w:pPr>
              <w:pStyle w:val="Compact"/>
            </w:pPr>
            <w:r>
              <w:t xml:space="preserve">6–8</w:t>
            </w:r>
          </w:p>
        </w:tc>
        <w:tc>
          <w:tcPr/>
          <w:p>
            <w:pPr>
              <w:pStyle w:val="Compact"/>
            </w:pPr>
            <w:r>
              <w:t xml:space="preserve">Third prohibition: no contact with the dead — not even for father, mother, sibling; his consecration supersedes even family obligation</w:t>
            </w:r>
          </w:p>
        </w:tc>
        <w:tc>
          <w:tcPr/>
          <w:p>
            <w:pPr>
              <w:pStyle w:val="Compact"/>
            </w:pPr>
            <w:r>
              <w:t xml:space="preserve">Highest tier of holiness parallels the high priest’s restrictions (Lev. 21:11); consecration takes priority</w:t>
            </w:r>
          </w:p>
        </w:tc>
      </w:tr>
      <w:tr>
        <w:tc>
          <w:tcPr/>
          <w:p>
            <w:pPr>
              <w:pStyle w:val="Compact"/>
            </w:pPr>
            <w:r>
              <w:t xml:space="preserve">9–12</w:t>
            </w:r>
          </w:p>
        </w:tc>
        <w:tc>
          <w:tcPr/>
          <w:p>
            <w:pPr>
              <w:pStyle w:val="Compact"/>
            </w:pPr>
            <w:r>
              <w:t xml:space="preserve">Provision for defilement: if someone dies suddenly near the Nazirite, the head is shaved, purification offerings are made, and the vow period restarts</w:t>
            </w:r>
          </w:p>
        </w:tc>
        <w:tc>
          <w:tcPr/>
          <w:p>
            <w:pPr>
              <w:pStyle w:val="Compact"/>
            </w:pPr>
            <w:r>
              <w:t xml:space="preserve">Defilement is not the end — but the vow’s integrity must be fully maintained; contamination requires full recommencement</w:t>
            </w:r>
          </w:p>
        </w:tc>
      </w:tr>
      <w:tr>
        <w:tc>
          <w:tcPr/>
          <w:p>
            <w:pPr>
              <w:pStyle w:val="Compact"/>
            </w:pPr>
            <w:r>
              <w:t xml:space="preserve">13–17</w:t>
            </w:r>
          </w:p>
        </w:tc>
        <w:tc>
          <w:tcPr/>
          <w:p>
            <w:pPr>
              <w:pStyle w:val="Compact"/>
            </w:pPr>
            <w:r>
              <w:t xml:space="preserve">Regulations for the vow’s completion: the Nazirite presents burnt offering, sin offering, peace offering, unleavened bread, grain offering, drink offering</w:t>
            </w:r>
          </w:p>
        </w:tc>
        <w:tc>
          <w:tcPr/>
          <w:p>
            <w:pPr>
              <w:pStyle w:val="Compact"/>
            </w:pPr>
            <w:r>
              <w:t xml:space="preserve">The release ceremony is a full sacrificial presentation — the vow ends not in self-congratulation but in worship</w:t>
            </w:r>
          </w:p>
        </w:tc>
      </w:tr>
      <w:tr>
        <w:tc>
          <w:tcPr/>
          <w:p>
            <w:pPr>
              <w:pStyle w:val="Compact"/>
            </w:pPr>
            <w:r>
              <w:t xml:space="preserve">18</w:t>
            </w:r>
          </w:p>
        </w:tc>
        <w:tc>
          <w:tcPr/>
          <w:p>
            <w:pPr>
              <w:pStyle w:val="Compact"/>
            </w:pPr>
            <w:r>
              <w:t xml:space="preserve">The Nazirite shaves the consecrated head at the door of the tent and places the hair in the fire under the peace offering</w:t>
            </w:r>
          </w:p>
        </w:tc>
        <w:tc>
          <w:tcPr/>
          <w:p>
            <w:pPr>
              <w:pStyle w:val="Compact"/>
            </w:pPr>
            <w:r>
              <w:t xml:space="preserve">The external sign of consecration is offered back to God — the visible marker of the vow is surrendered in worship</w:t>
            </w:r>
          </w:p>
        </w:tc>
      </w:tr>
      <w:tr>
        <w:tc>
          <w:tcPr/>
          <w:p>
            <w:pPr>
              <w:pStyle w:val="Compact"/>
            </w:pPr>
            <w:r>
              <w:t xml:space="preserve">19–20</w:t>
            </w:r>
          </w:p>
        </w:tc>
        <w:tc>
          <w:tcPr/>
          <w:p>
            <w:pPr>
              <w:pStyle w:val="Compact"/>
            </w:pPr>
            <w:r>
              <w:t xml:space="preserve">The priest presents the wave offering; the Nazirite may then drink wine</w:t>
            </w:r>
          </w:p>
        </w:tc>
        <w:tc>
          <w:tcPr/>
          <w:p>
            <w:pPr>
              <w:pStyle w:val="Compact"/>
            </w:pPr>
            <w:r>
              <w:t xml:space="preserve">The ceremony completed, the prohibition lifted — the vow has a defined end; consecration is bounded, not permanent</w:t>
            </w:r>
          </w:p>
        </w:tc>
      </w:tr>
      <w:tr>
        <w:tc>
          <w:tcPr/>
          <w:p>
            <w:pPr>
              <w:pStyle w:val="Compact"/>
            </w:pPr>
            <w:r>
              <w:t xml:space="preserve">21</w:t>
            </w:r>
          </w:p>
        </w:tc>
        <w:tc>
          <w:tcPr/>
          <w:p>
            <w:pPr>
              <w:pStyle w:val="Compact"/>
            </w:pPr>
            <w:r>
              <w:t xml:space="preserve">Summary: this is the law of the Nazirite who vows; the offering is the minimum — additional offerings are permitted as vowed</w:t>
            </w:r>
          </w:p>
        </w:tc>
        <w:tc>
          <w:tcPr/>
          <w:p>
            <w:pPr>
              <w:pStyle w:val="Compact"/>
            </w:pPr>
            <w:r>
              <w:t xml:space="preserve">The floor, not the ceiling; additional devotion possible but the required ceremony is specified</w:t>
            </w:r>
          </w:p>
        </w:tc>
      </w:tr>
      <w:tr>
        <w:tc>
          <w:tcPr/>
          <w:p>
            <w:pPr>
              <w:pStyle w:val="Compact"/>
            </w:pPr>
            <w:r>
              <w:t xml:space="preserve">22–23</w:t>
            </w:r>
          </w:p>
        </w:tc>
        <w:tc>
          <w:tcPr/>
          <w:p>
            <w:pPr>
              <w:pStyle w:val="Compact"/>
            </w:pPr>
            <w:r>
              <w:t xml:space="preserve">The LORD commands Moses: Aaron and his sons shall bless the people</w:t>
            </w:r>
            <w:r>
              <w:t xml:space="preserve"> </w:t>
            </w:r>
            <w:r>
              <w:t xml:space="preserve">“in this way”</w:t>
            </w:r>
            <w:r>
              <w:t xml:space="preserve"> </w:t>
            </w:r>
            <w:r>
              <w:t xml:space="preserve">(</w:t>
            </w:r>
            <w:r>
              <w:rPr>
                <w:i/>
                <w:iCs/>
              </w:rPr>
              <w:t xml:space="preserve">kōh</w:t>
            </w:r>
            <w:r>
              <w:t xml:space="preserve">) — not improvised but specified</w:t>
            </w:r>
          </w:p>
        </w:tc>
        <w:tc>
          <w:tcPr/>
          <w:p>
            <w:pPr>
              <w:pStyle w:val="Compact"/>
            </w:pPr>
            <w:r>
              <w:t xml:space="preserve">The word</w:t>
            </w:r>
            <w:r>
              <w:t xml:space="preserve"> </w:t>
            </w:r>
            <w:r>
              <w:rPr>
                <w:i/>
                <w:iCs/>
              </w:rPr>
              <w:t xml:space="preserve">kōh</w:t>
            </w:r>
            <w:r>
              <w:t xml:space="preserve"> </w:t>
            </w:r>
            <w:r>
              <w:t xml:space="preserve">(</w:t>
            </w:r>
            <w:r>
              <w:t xml:space="preserve">“thus/in this way”</w:t>
            </w:r>
            <w:r>
              <w:t xml:space="preserve">) signals a precise formula; the priests are given words, not a sentiment</w:t>
            </w:r>
          </w:p>
        </w:tc>
      </w:tr>
      <w:tr>
        <w:tc>
          <w:tcPr/>
          <w:p>
            <w:pPr>
              <w:pStyle w:val="Compact"/>
            </w:pPr>
            <w:r>
              <w:t xml:space="preserve">24</w:t>
            </w:r>
          </w:p>
        </w:tc>
        <w:tc>
          <w:tcPr/>
          <w:p>
            <w:pPr>
              <w:pStyle w:val="Compact"/>
            </w:pPr>
            <w:r>
              <w:t xml:space="preserve">“The LORD bless you and keep you”</w:t>
            </w:r>
            <w:r>
              <w:t xml:space="preserve"> </w:t>
            </w:r>
            <w:r>
              <w:t xml:space="preserve">— blessing (material and covenantal favor) and keeping (guarding, protecting)</w:t>
            </w:r>
          </w:p>
        </w:tc>
        <w:tc>
          <w:tcPr/>
          <w:p>
            <w:pPr>
              <w:pStyle w:val="Compact"/>
            </w:pPr>
            <w:r>
              <w:t xml:space="preserve">Hebrew</w:t>
            </w:r>
            <w:r>
              <w:t xml:space="preserve"> </w:t>
            </w:r>
            <w:r>
              <w:rPr>
                <w:i/>
                <w:iCs/>
              </w:rPr>
              <w:t xml:space="preserve">šāmar</w:t>
            </w:r>
            <w:r>
              <w:t xml:space="preserve"> </w:t>
            </w:r>
            <w:r>
              <w:t xml:space="preserve">= to guard, watch over; the LORD as keeper echoes Ps. 121’s repeated</w:t>
            </w:r>
            <w:r>
              <w:t xml:space="preserve"> </w:t>
            </w:r>
            <w:r>
              <w:rPr>
                <w:i/>
                <w:iCs/>
              </w:rPr>
              <w:t xml:space="preserve">šāmar</w:t>
            </w:r>
          </w:p>
        </w:tc>
      </w:tr>
      <w:tr>
        <w:tc>
          <w:tcPr/>
          <w:p>
            <w:pPr>
              <w:pStyle w:val="Compact"/>
            </w:pPr>
            <w:r>
              <w:t xml:space="preserve">25</w:t>
            </w:r>
          </w:p>
        </w:tc>
        <w:tc>
          <w:tcPr/>
          <w:p>
            <w:pPr>
              <w:pStyle w:val="Compact"/>
            </w:pPr>
            <w:r>
              <w:t xml:space="preserve">“The LORD make his face shine upon you and be gracious to you”</w:t>
            </w:r>
            <w:r>
              <w:t xml:space="preserve"> </w:t>
            </w:r>
            <w:r>
              <w:t xml:space="preserve">— the divine face as the source of all grace</w:t>
            </w:r>
          </w:p>
        </w:tc>
        <w:tc>
          <w:tcPr/>
          <w:p>
            <w:pPr>
              <w:pStyle w:val="Compact"/>
            </w:pPr>
            <w:r>
              <w:t xml:space="preserve">The shining face is the idiom for favor and delight — contrast with</w:t>
            </w:r>
            <w:r>
              <w:t xml:space="preserve"> </w:t>
            </w:r>
            <w:r>
              <w:t xml:space="preserve">“hiding the face”</w:t>
            </w:r>
            <w:r>
              <w:t xml:space="preserve"> </w:t>
            </w:r>
            <w:r>
              <w:t xml:space="preserve">as judgment</w:t>
            </w:r>
          </w:p>
        </w:tc>
      </w:tr>
      <w:tr>
        <w:tc>
          <w:tcPr/>
          <w:p>
            <w:pPr>
              <w:pStyle w:val="Compact"/>
            </w:pPr>
            <w:r>
              <w:t xml:space="preserve">26</w:t>
            </w:r>
          </w:p>
        </w:tc>
        <w:tc>
          <w:tcPr/>
          <w:p>
            <w:pPr>
              <w:pStyle w:val="Compact"/>
            </w:pPr>
            <w:r>
              <w:t xml:space="preserve">“The LORD lift up his countenance upon you and give you peace”</w:t>
            </w:r>
            <w:r>
              <w:t xml:space="preserve"> </w:t>
            </w:r>
            <w:r>
              <w:t xml:space="preserve">—</w:t>
            </w:r>
            <w:r>
              <w:t xml:space="preserve"> </w:t>
            </w:r>
            <w:r>
              <w:rPr>
                <w:i/>
                <w:iCs/>
              </w:rPr>
              <w:t xml:space="preserve">šālôm</w:t>
            </w:r>
            <w:r>
              <w:t xml:space="preserve">: comprehensive wholeness, wellbeing, relational completeness</w:t>
            </w:r>
          </w:p>
        </w:tc>
        <w:tc>
          <w:tcPr/>
          <w:p>
            <w:pPr>
              <w:pStyle w:val="Compact"/>
            </w:pPr>
            <w:r>
              <w:t xml:space="preserve">The culminating gift: not merely absence of trouble but positive wholeness in relationship with God</w:t>
            </w:r>
          </w:p>
        </w:tc>
      </w:tr>
      <w:tr>
        <w:tc>
          <w:tcPr/>
          <w:p>
            <w:pPr>
              <w:pStyle w:val="Compact"/>
            </w:pPr>
            <w:r>
              <w:t xml:space="preserve">27</w:t>
            </w:r>
          </w:p>
        </w:tc>
        <w:tc>
          <w:tcPr/>
          <w:p>
            <w:pPr>
              <w:pStyle w:val="Compact"/>
            </w:pPr>
            <w:r>
              <w:t xml:space="preserve">“So they shall put my name upon the people of Israel, and I will bless them”</w:t>
            </w:r>
            <w:r>
              <w:t xml:space="preserve"> </w:t>
            </w:r>
            <w:r>
              <w:t xml:space="preserve">— the LORD’s guarantee: His name placed = His blessing given</w:t>
            </w:r>
          </w:p>
        </w:tc>
        <w:tc>
          <w:tcPr/>
          <w:p>
            <w:pPr>
              <w:pStyle w:val="Compact"/>
            </w:pPr>
            <w:r>
              <w:t xml:space="preserve">The entire benediction is a covenantal speech-act; the LORD’s name is not merely pronounced but placed; He vouches for the effect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Introduction: The LORD Defines Voluntary Consecration</w:t>
            </w:r>
          </w:p>
        </w:tc>
      </w:tr>
      <w:tr>
        <w:tc>
          <w:tcPr/>
          <w:p>
            <w:pPr>
              <w:pStyle w:val="Compact"/>
            </w:pPr>
            <w:r>
              <w:t xml:space="preserve">2</w:t>
            </w:r>
          </w:p>
        </w:tc>
        <w:tc>
          <w:tcPr/>
          <w:p>
            <w:pPr>
              <w:pStyle w:val="Compact"/>
            </w:pPr>
            <w:r>
              <w:t xml:space="preserve">3–8</w:t>
            </w:r>
          </w:p>
        </w:tc>
        <w:tc>
          <w:tcPr/>
          <w:p>
            <w:pPr>
              <w:pStyle w:val="Compact"/>
            </w:pPr>
            <w:r>
              <w:t xml:space="preserve">The Three Prohibitions: What Separation From the World Looks Like</w:t>
            </w:r>
          </w:p>
        </w:tc>
      </w:tr>
      <w:tr>
        <w:tc>
          <w:tcPr/>
          <w:p>
            <w:pPr>
              <w:pStyle w:val="Compact"/>
            </w:pPr>
            <w:r>
              <w:t xml:space="preserve">3</w:t>
            </w:r>
          </w:p>
        </w:tc>
        <w:tc>
          <w:tcPr/>
          <w:p>
            <w:pPr>
              <w:pStyle w:val="Compact"/>
            </w:pPr>
            <w:r>
              <w:t xml:space="preserve">9–12</w:t>
            </w:r>
          </w:p>
        </w:tc>
        <w:tc>
          <w:tcPr/>
          <w:p>
            <w:pPr>
              <w:pStyle w:val="Compact"/>
            </w:pPr>
            <w:r>
              <w:t xml:space="preserve">Provision for Defilement: Grace That Restarts the Consecrated Life</w:t>
            </w:r>
          </w:p>
        </w:tc>
      </w:tr>
      <w:tr>
        <w:tc>
          <w:tcPr/>
          <w:p>
            <w:pPr>
              <w:pStyle w:val="Compact"/>
            </w:pPr>
            <w:r>
              <w:t xml:space="preserve">4</w:t>
            </w:r>
          </w:p>
        </w:tc>
        <w:tc>
          <w:tcPr/>
          <w:p>
            <w:pPr>
              <w:pStyle w:val="Compact"/>
            </w:pPr>
            <w:r>
              <w:t xml:space="preserve">13–21</w:t>
            </w:r>
          </w:p>
        </w:tc>
        <w:tc>
          <w:tcPr/>
          <w:p>
            <w:pPr>
              <w:pStyle w:val="Compact"/>
            </w:pPr>
            <w:r>
              <w:t xml:space="preserve">The Release Ceremony: Consecration Concludes in Worship, Not Self-Achievement</w:t>
            </w:r>
          </w:p>
        </w:tc>
      </w:tr>
      <w:tr>
        <w:tc>
          <w:tcPr/>
          <w:p>
            <w:pPr>
              <w:pStyle w:val="Compact"/>
            </w:pPr>
            <w:r>
              <w:t xml:space="preserve">5</w:t>
            </w:r>
          </w:p>
        </w:tc>
        <w:tc>
          <w:tcPr/>
          <w:p>
            <w:pPr>
              <w:pStyle w:val="Compact"/>
            </w:pPr>
            <w:r>
              <w:t xml:space="preserve">22–23</w:t>
            </w:r>
          </w:p>
        </w:tc>
        <w:tc>
          <w:tcPr/>
          <w:p>
            <w:pPr>
              <w:pStyle w:val="Compact"/>
            </w:pPr>
            <w:r>
              <w:t xml:space="preserve">The Command to Bless: The LORD Specifies the Words</w:t>
            </w:r>
          </w:p>
        </w:tc>
      </w:tr>
      <w:tr>
        <w:tc>
          <w:tcPr/>
          <w:p>
            <w:pPr>
              <w:pStyle w:val="Compact"/>
            </w:pPr>
            <w:r>
              <w:t xml:space="preserve">6</w:t>
            </w:r>
          </w:p>
        </w:tc>
        <w:tc>
          <w:tcPr/>
          <w:p>
            <w:pPr>
              <w:pStyle w:val="Compact"/>
            </w:pPr>
            <w:r>
              <w:t xml:space="preserve">24–26</w:t>
            </w:r>
          </w:p>
        </w:tc>
        <w:tc>
          <w:tcPr/>
          <w:p>
            <w:pPr>
              <w:pStyle w:val="Compact"/>
            </w:pPr>
            <w:r>
              <w:t xml:space="preserve">The Benediction Itself: Face, Favor, and Peace</w:t>
            </w:r>
          </w:p>
        </w:tc>
      </w:tr>
      <w:tr>
        <w:tc>
          <w:tcPr/>
          <w:p>
            <w:pPr>
              <w:pStyle w:val="Compact"/>
            </w:pPr>
            <w:r>
              <w:t xml:space="preserve">7</w:t>
            </w:r>
          </w:p>
        </w:tc>
        <w:tc>
          <w:tcPr/>
          <w:p>
            <w:pPr>
              <w:pStyle w:val="Compact"/>
            </w:pPr>
            <w:r>
              <w:t xml:space="preserve">27</w:t>
            </w:r>
          </w:p>
        </w:tc>
        <w:tc>
          <w:tcPr/>
          <w:p>
            <w:pPr>
              <w:pStyle w:val="Compact"/>
            </w:pPr>
            <w:r>
              <w:t xml:space="preserve">The Guarantee: The LORD’s Name Placed = The LORD’s Blessing Given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specifies both the shape of consecration and the source of all blessing for His covenant people.</w:t>
      </w:r>
    </w:p>
    <w:p>
      <w:pPr>
        <w:pStyle w:val="BodyText"/>
      </w:pPr>
      <w:r>
        <w:rPr>
          <w:b/>
          <w:bCs/>
        </w:rPr>
        <w:t xml:space="preserve">Primary Claim:</w:t>
      </w:r>
      <w:r>
        <w:t xml:space="preserve"> </w:t>
      </w:r>
      <w:r>
        <w:t xml:space="preserve">God is assuring His people that every dimension of their life with Him — their consecration, their holiness, their peace — originates in His gracious initiative and His spoken blessing, not in their achievement or worthiness.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designing your own spirituality — God has specified what consecration looks like, and it is His to define.</w:t>
      </w:r>
      <w:r>
        <w:t xml:space="preserve"> </w:t>
      </w:r>
      <w:r>
        <w:t xml:space="preserve">The Nazirite vow, for all its voluntariness, was governed entirely by God’s stated terms. The Israelite did not invent the vow’s content — the LORD did. This confronts a pervasive instinct in contemporary Christianity to construct a personalized spiritual life: chosen practices, self-designed disciplines, spirituality as self-expression. The text teaches that genuine consecration is not self-authorship but submission to God’s ordered way. Where God has spoken on the shape of holiness — in His Word, in His covenant community, in His appointed means of grace — the believer is not free to substitute their own preferred arrangement. Consecration is not a creative project; it is a called obedience.</w:t>
      </w:r>
    </w:p>
    <w:p>
      <w:pPr>
        <w:pStyle w:val="BodyText"/>
      </w:pPr>
      <w:r>
        <w:rPr>
          <w:b/>
          <w:bCs/>
        </w:rPr>
        <w:t xml:space="preserve">2. (Affections/Worship) Let the defilement provision of the Nazirite vow reshape your response to your own failure — defilement is not disqualification, it is an occasion for recommencement.</w:t>
      </w:r>
      <w:r>
        <w:t xml:space="preserve"> </w:t>
      </w:r>
      <w:r>
        <w:t xml:space="preserve">When the Nazirite was accidentally defiled, the vow did not end in disgrace — it restarted through purification (vv. 9–12). The LORD built a provision for failure into the very structure of consecration. This should move the believer not to carelessness (the vow must be restarted in full) but to hope: God has anticipated your contamination by this world and has provided a way back. The heart that has sinned and assumes it is finished with God has misread both the defilement provision in Numbers 6 and the gospel it anticipates. Believers should feel the weight of defilement (the vow restarts from the beginning — nothing is carried forward) and the hope of defilement provision (there is a way back, and it leads through the altar).</w:t>
      </w:r>
    </w:p>
    <w:p>
      <w:pPr>
        <w:pStyle w:val="BodyText"/>
      </w:pPr>
      <w:r>
        <w:rPr>
          <w:b/>
          <w:bCs/>
        </w:rPr>
        <w:t xml:space="preserve">3. (Will/Behavior) Receive the Aaronic Benediction not as ceremony but as covenantal address — and let it displace the week’s accumulated verdict about your worth.</w:t>
      </w:r>
      <w:r>
        <w:t xml:space="preserve"> </w:t>
      </w:r>
      <w:r>
        <w:t xml:space="preserve">The LORD’s command is not merely that Aaron pronounce a blessing but that His name be placed on the people (v. 27). When the benediction is spoken in a covenant assembly, God is actively doing something — placing His name, extending His favor, speaking His peace. The application is behavioral in a counter-intuitive sense: stop passive-receiving the benediction as ritual close to a worship service and begin active-receiving it as God’s direct address to your specific condition. The person who leaves a gathered assembly carrying the week’s accumulated shame, productivity failures, and relational guilt, and who then hears</w:t>
      </w:r>
      <w:r>
        <w:t xml:space="preserve"> </w:t>
      </w:r>
      <w:r>
        <w:t xml:space="preserve">“the LORD lift up his countenance upon you and give you peace”</w:t>
      </w:r>
      <w:r>
        <w:t xml:space="preserve"> </w:t>
      </w:r>
      <w:r>
        <w:t xml:space="preserve">— that person is being addressed by name by the LORD of the covenant. Receive it. Let it be the last word, not the liturgy.</w:t>
      </w:r>
    </w:p>
    <w:p>
      <w:pPr>
        <w:pStyle w:val="BodyText"/>
      </w:pPr>
      <w:r>
        <w:rPr>
          <w:b/>
          <w:bCs/>
        </w:rPr>
        <w:t xml:space="preserve">4. (Mind/Belief) Recognize that</w:t>
      </w:r>
      <w:r>
        <w:rPr>
          <w:b/>
          <w:bCs/>
        </w:rPr>
        <w:t xml:space="preserve"> </w:t>
      </w:r>
      <w:r>
        <w:rPr>
          <w:b/>
          <w:bCs/>
        </w:rPr>
        <w:t xml:space="preserve">“the LORD keep you”</w:t>
      </w:r>
      <w:r>
        <w:rPr>
          <w:b/>
          <w:bCs/>
        </w:rPr>
        <w:t xml:space="preserve"> </w:t>
      </w:r>
      <w:r>
        <w:rPr>
          <w:b/>
          <w:bCs/>
        </w:rPr>
        <w:t xml:space="preserve">(v. 24) is the answer to the specific anxiety that your consecration is not secure enough to last.</w:t>
      </w:r>
      <w:r>
        <w:t xml:space="preserve"> </w:t>
      </w:r>
      <w:r>
        <w:t xml:space="preserve">The Hebrew</w:t>
      </w:r>
      <w:r>
        <w:t xml:space="preserve"> </w:t>
      </w:r>
      <w:r>
        <w:rPr>
          <w:i/>
          <w:iCs/>
        </w:rPr>
        <w:t xml:space="preserve">šāmar</w:t>
      </w:r>
      <w:r>
        <w:t xml:space="preserve"> </w:t>
      </w:r>
      <w:r>
        <w:t xml:space="preserve">in verse 24 is the same word used repeatedly in Psalm 121 —</w:t>
      </w:r>
      <w:r>
        <w:t xml:space="preserve"> </w:t>
      </w:r>
      <w:r>
        <w:t xml:space="preserve">“He who keeps you will not slumber… the LORD is your keeper.”</w:t>
      </w:r>
      <w:r>
        <w:t xml:space="preserve"> </w:t>
      </w:r>
      <w:r>
        <w:t xml:space="preserve">The benediction’s first petition is for guarding and protection — not protection from circumstances primarily, but protection of the covenant relationship itself. The believer who fears that their standing with God is fragile, that one bad week or one serious failure will cause them to lose what they have with God, is addressed directly by this first line. The LORD is not merely blessing you — He is keeping you. The guarding is His work, not yours.</w:t>
      </w:r>
    </w:p>
    <w:p>
      <w:pPr>
        <w:pStyle w:val="BodyText"/>
      </w:pPr>
      <w:r>
        <w:rPr>
          <w:b/>
          <w:bCs/>
        </w:rPr>
        <w:t xml:space="preserve">5. (Affections/Worship) Let</w:t>
      </w:r>
      <w:r>
        <w:rPr>
          <w:b/>
          <w:bCs/>
        </w:rPr>
        <w:t xml:space="preserve"> </w:t>
      </w:r>
      <w:r>
        <w:rPr>
          <w:b/>
          <w:bCs/>
          <w:i/>
          <w:iCs/>
        </w:rPr>
        <w:t xml:space="preserve">šālôm</w:t>
      </w:r>
      <w:r>
        <w:rPr>
          <w:b/>
          <w:bCs/>
        </w:rPr>
        <w:t xml:space="preserve"> </w:t>
      </w:r>
      <w:r>
        <w:rPr>
          <w:b/>
          <w:bCs/>
        </w:rPr>
        <w:t xml:space="preserve">— the peace of the benediction’s final line — become your actual category for what you are seeking, displacing the substitutes you are actually chasing.</w:t>
      </w:r>
      <w:r>
        <w:t xml:space="preserve"> </w:t>
      </w:r>
      <w:r>
        <w:t xml:space="preserve">The Keller idol-diagnosis lens applies here with particular force. The benediction’s climactic gift is</w:t>
      </w:r>
      <w:r>
        <w:t xml:space="preserve"> </w:t>
      </w:r>
      <w:r>
        <w:rPr>
          <w:i/>
          <w:iCs/>
        </w:rPr>
        <w:t xml:space="preserve">šālôm</w:t>
      </w:r>
      <w:r>
        <w:t xml:space="preserve"> </w:t>
      </w:r>
      <w:r>
        <w:t xml:space="preserve">— comprehensive wholeness, the complete flourishing of every relationship and dimension of human life. Most of what believers actually pursue — financial security, relational approval, health, achievement, status — is a fragment of</w:t>
      </w:r>
      <w:r>
        <w:t xml:space="preserve"> </w:t>
      </w:r>
      <w:r>
        <w:rPr>
          <w:i/>
          <w:iCs/>
        </w:rPr>
        <w:t xml:space="preserve">šālôm</w:t>
      </w:r>
      <w:r>
        <w:t xml:space="preserve"> </w:t>
      </w:r>
      <w:r>
        <w:t xml:space="preserve">sought by the wrong means. The idol is not always obviously irreligious; it is often a legitimate good pursued as though it were the whole. The benediction declares that the LORD gives the whole, not the fragments. The person who has secured financial stability but remains anxious has pursued a shard of</w:t>
      </w:r>
      <w:r>
        <w:t xml:space="preserve"> </w:t>
      </w:r>
      <w:r>
        <w:rPr>
          <w:i/>
          <w:iCs/>
        </w:rPr>
        <w:t xml:space="preserve">šālôm</w:t>
      </w:r>
      <w:r>
        <w:t xml:space="preserve">. The person on whom the LORD lifts His countenance has</w:t>
      </w:r>
      <w:r>
        <w:t xml:space="preserve"> </w:t>
      </w:r>
      <w:r>
        <w:rPr>
          <w:i/>
          <w:iCs/>
        </w:rPr>
        <w:t xml:space="preserve">šālôm</w:t>
      </w:r>
      <w:r>
        <w:t xml:space="preserve"> </w:t>
      </w:r>
      <w:r>
        <w:t xml:space="preserve">itself. Grieving the gap between the fragments you are chasing and the wholeness God offers is the affectional movement this application calls for.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6 teaches that God is the sovereign author of both holiness and blessing among His people. The Nazirite legislation reveals that even voluntary consecration must operate within God’s specified parameters — the LORD is not a divine patron who endorses whatever devotion His people design. He defines what separation looks like and what it costs, including its provision for failure. The Aaronic Benediction reveals something even more fundamental about the nature of God: He is a blessing God. The benediction is not a formula placed in priestly hands as a social courtesy — it is a covenantal speech-act in which the LORD places His own name, His own face, and His own</w:t>
      </w:r>
      <w:r>
        <w:t xml:space="preserve"> </w:t>
      </w:r>
      <w:r>
        <w:rPr>
          <w:i/>
          <w:iCs/>
        </w:rPr>
        <w:t xml:space="preserve">šālôm</w:t>
      </w:r>
      <w:r>
        <w:t xml:space="preserve"> </w:t>
      </w:r>
      <w:r>
        <w:t xml:space="preserve">upon His people. The climactic guarantee of verse 27 —</w:t>
      </w:r>
      <w:r>
        <w:t xml:space="preserve"> </w:t>
      </w:r>
      <w:r>
        <w:t xml:space="preserve">“I will bless them”</w:t>
      </w:r>
      <w:r>
        <w:t xml:space="preserve"> </w:t>
      </w:r>
      <w:r>
        <w:t xml:space="preserve">— demonstrates that the LORD’s blessing is irreducibly His own initiative. Both sections together teach the same doctrine: God is not responding to Israel’s deserving; He is acting out of His own gracious character and covenant commitment.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crucial Old Testament witness to the priority of divine grace in the life of God’s people — a principle that Reformed theology has consistently argued is not a New Testament innovation but the consistent pattern of the covenant from the beginning. The Nazirite vow, rightly read, is not a merit-accumulation system but a grace-ordered structure in which even the most exceptional human devotion is channeled through God’s appointed forms and terminated in worship rather than self-congratulation. The Aaronic Benediction functions as one of the clearest pre-Christological revelations of what Reformed theology means by</w:t>
      </w:r>
      <w:r>
        <w:t xml:space="preserve"> </w:t>
      </w:r>
      <w:r>
        <w:t xml:space="preserve">“the covenant of grace”</w:t>
      </w:r>
      <w:r>
        <w:t xml:space="preserve"> </w:t>
      </w:r>
      <w:r>
        <w:t xml:space="preserve">— the LORD unilaterally and unconditionally places His name upon His people and guarantees their blessing. The benediction’s three movements (blessing and keeping, face-shining and grace, countenance-lifting and peace) anticipate the full revelation of the triune God’s posture toward His elect: the Father’s electing love, the Son’s mediating grace, the Spirit’s indwelling peace. Reformed worship rightly returns to this text not as historical artifact but as living covenantal address, because the God who commanded Aaron to speak these words is the same God who addresses His covenant people in gathered worship today.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telling you two things in this chapter that belong together: He defines what a consecrated life looks like — which means your devotion is not a creative project but an ordered obedience — and He is the one who places His name, His face, and His peace on you — which means your standing before Him is not your achievement but His gift. You are neither the author of your holiness nor the earner of your blessing. Both come from Him, and both are secured by Him. Stop auditing your own consecration for sufficiency. Hear instead the LORD’s own words over you:</w:t>
      </w:r>
      <w:r>
        <w:t xml:space="preserve"> </w:t>
      </w:r>
      <w:r>
        <w:t xml:space="preserve">“I will bless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Nazirite vow as a template for Christian asceticism or religious vows.</w:t>
      </w:r>
      <w:r>
        <w:t xml:space="preserve"> </w:t>
      </w:r>
      <w:r>
        <w:t xml:space="preserve">This is perhaps the most common misuse of Numbers 6:1–21. The Nazirite vow is a Mosaic covenant institution with specific typological and redemptive-historical functions — it is not a blueprint for monastic life, contemporary fasting practices, or any form of voluntary religious commitment that earns elevated spiritual status. Preachers should acknowledge the passage’s application for understanding ordered devotion while clearly locating the vow within its covenant-historical context and pointing to its fulfillment in Christ.</w:t>
      </w:r>
    </w:p>
    <w:p>
      <w:pPr>
        <w:numPr>
          <w:ilvl w:val="0"/>
          <w:numId w:val="1002"/>
        </w:numPr>
      </w:pPr>
      <w:r>
        <w:rPr>
          <w:b/>
          <w:bCs/>
        </w:rPr>
        <w:t xml:space="preserve">Preaching the Aaronic Benediction as a liturgical formula with intrinsic power.</w:t>
      </w:r>
      <w:r>
        <w:t xml:space="preserve"> </w:t>
      </w:r>
      <w:r>
        <w:t xml:space="preserve">The opposite error from dismissing the benediction as ceremony is treating it as a priestly incantation whose words carry automatic effect. The benediction is effective not because the words are ancient or the formula is sacred but because the LORD backs His own word with His own covenant faithfulness. Preachers should guard against both the liberal reduction (it is merely a beautiful poem) and the quasi-magical elevation (the right words produce the right results). The power is in the Promise-Keeper, not the formula.</w:t>
      </w:r>
    </w:p>
    <w:p>
      <w:pPr>
        <w:numPr>
          <w:ilvl w:val="0"/>
          <w:numId w:val="1002"/>
        </w:numPr>
      </w:pPr>
      <w:r>
        <w:rPr>
          <w:b/>
          <w:bCs/>
        </w:rPr>
        <w:t xml:space="preserve">Extracting the Aaronic Benediction from its Numbers 6 context and preaching it as a stand-alone blessing text.</w:t>
      </w:r>
      <w:r>
        <w:t xml:space="preserve"> </w:t>
      </w:r>
      <w:r>
        <w:t xml:space="preserve">The benediction (vv. 22–27) is frequently preached in complete isolation from the Nazirite legislation that precedes it in the same chapter. But the chapter’s architecture matters: the movement from Nazirite consecration to Aaronic benediction is deliberate — from the people’s response to God’s grace, to God’s definitive word of blessing upon the people. Preaching the benediction in isolation loses the covenantal dynamic in which it sits: God specifies what His people’s devotion looks like, and then God speaks His own blessing over them regardless of whether their devotion has been sufficient.</w:t>
      </w:r>
    </w:p>
    <w:p>
      <w:pPr>
        <w:numPr>
          <w:ilvl w:val="0"/>
          <w:numId w:val="1002"/>
        </w:numPr>
      </w:pPr>
      <w:r>
        <w:rPr>
          <w:b/>
          <w:bCs/>
        </w:rPr>
        <w:t xml:space="preserve">Moralizing the Nazirite vow into a generalized call to</w:t>
      </w:r>
      <w:r>
        <w:rPr>
          <w:b/>
          <w:bCs/>
        </w:rPr>
        <w:t xml:space="preserve"> </w:t>
      </w:r>
      <w:r>
        <w:rPr>
          <w:b/>
          <w:bCs/>
        </w:rPr>
        <w:t xml:space="preserve">“go all in for God.”</w:t>
      </w:r>
      <w:r>
        <w:t xml:space="preserve"> </w:t>
      </w:r>
      <w:r>
        <w:t xml:space="preserve">The vow’s three specific prohibitions carry specific symbolic and typological weight within the Mosaic covenant — they are not arbitrary markers of seriousness that can be translated directly into any intense Christian commitment. Preaching</w:t>
      </w:r>
      <w:r>
        <w:t xml:space="preserve"> </w:t>
      </w:r>
      <w:r>
        <w:t xml:space="preserve">“be a Nazirite for God today”</w:t>
      </w:r>
      <w:r>
        <w:t xml:space="preserve"> </w:t>
      </w:r>
      <w:r>
        <w:t xml:space="preserve">without redemptive-historical grounding produces a moralistic application untethered from the text’s actual claim. The question the text raises is not</w:t>
      </w:r>
      <w:r>
        <w:t xml:space="preserve"> </w:t>
      </w:r>
      <w:r>
        <w:t xml:space="preserve">“how committed are you?”</w:t>
      </w:r>
      <w:r>
        <w:t xml:space="preserve"> </w:t>
      </w:r>
      <w:r>
        <w:t xml:space="preserve">but</w:t>
      </w:r>
      <w:r>
        <w:t xml:space="preserve"> </w:t>
      </w:r>
      <w:r>
        <w:t xml:space="preserve">“whose specification is your consecration following?”</w:t>
      </w:r>
    </w:p>
    <w:p>
      <w:pPr>
        <w:numPr>
          <w:ilvl w:val="0"/>
          <w:numId w:val="1002"/>
        </w:numPr>
      </w:pPr>
      <w:r>
        <w:rPr>
          <w:b/>
          <w:bCs/>
        </w:rPr>
        <w:t xml:space="preserve">Failing to connect the benediction’s</w:t>
      </w:r>
      <w:r>
        <w:rPr>
          <w:b/>
          <w:bCs/>
        </w:rPr>
        <w:t xml:space="preserve"> </w:t>
      </w:r>
      <w:r>
        <w:rPr>
          <w:b/>
          <w:bCs/>
        </w:rPr>
        <w:t xml:space="preserve">“face”</w:t>
      </w:r>
      <w:r>
        <w:rPr>
          <w:b/>
          <w:bCs/>
        </w:rPr>
        <w:t xml:space="preserve"> </w:t>
      </w:r>
      <w:r>
        <w:rPr>
          <w:b/>
          <w:bCs/>
        </w:rPr>
        <w:t xml:space="preserve">language to its redemptive-historical trajectory.</w:t>
      </w:r>
      <w:r>
        <w:t xml:space="preserve"> </w:t>
      </w:r>
      <w:r>
        <w:t xml:space="preserve">The request that the LORD make His face shine and lift up His countenance is one of the Old Testament’s most pointed anticipations of the beatific vision — the eschatological face-to-face encounter with God that the new creation alone fully delivers (Rev. 22:4). Preachers who treat the benediction’s face-language as purely referring to present felt experience miss its full canonical weight. The benediction is simultaneously a present covenantal address and an eschatological promise not yet fully delivered. Preaching it well holds both: the LORD’s face shines on you now through Christ; it will shine on you without veil or mediation in the age to come.</w:t>
      </w:r>
    </w:p>
    <w:p>
      <w:pPr>
        <w:numPr>
          <w:ilvl w:val="0"/>
          <w:numId w:val="1002"/>
        </w:numPr>
      </w:pPr>
      <w:r>
        <w:rPr>
          <w:b/>
          <w:bCs/>
        </w:rPr>
        <w:t xml:space="preserve">Omitting Christ as the fulfillment of both the Nazirite vow and the benediction’s terms.</w:t>
      </w:r>
      <w:r>
        <w:t xml:space="preserve"> </w:t>
      </w:r>
      <w:r>
        <w:t xml:space="preserve">Jesus is the ultimate Nazirite — consecrated fully to the Father, separated from sin absolutely, offering Himself as the final sacrifice at the completion of His mission. Jesus is also the one upon whom the Father’s full favor, face, and</w:t>
      </w:r>
      <w:r>
        <w:t xml:space="preserve"> </w:t>
      </w:r>
      <w:r>
        <w:rPr>
          <w:i/>
          <w:iCs/>
        </w:rPr>
        <w:t xml:space="preserve">šālôm</w:t>
      </w:r>
      <w:r>
        <w:t xml:space="preserve"> </w:t>
      </w:r>
      <w:r>
        <w:t xml:space="preserve">rest — and through union with Christ, His people receive what the benediction promises. A sermon on Numbers 6 that does not arrive at Christ has not completed the journey the text begins. Both sections of the chapter point forward; the preacher’s job is to show where they point.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2026-07-14T21:01:47Z</dcterms:created>
  <dcterms:modified xsi:type="dcterms:W3CDTF">2026-07-14T21:01:47Z</dcterms:modified>
</cp:coreProperties>
</file>

<file path=docProps/custom.xml><?xml version="1.0" encoding="utf-8"?>
<Properties xmlns="http://schemas.openxmlformats.org/officeDocument/2006/custom-properties" xmlns:vt="http://schemas.openxmlformats.org/officeDocument/2006/docPropsVTypes"/>
</file>